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3775" w14:textId="77777777" w:rsidR="00356631" w:rsidRPr="00BF5A85" w:rsidRDefault="00356631" w:rsidP="00356631">
      <w:pPr>
        <w:jc w:val="center"/>
        <w:rPr>
          <w:rFonts w:ascii="Baskerville Old Face" w:hAnsi="Baskerville Old Face" w:cs="Microsoft Sans Serif"/>
          <w:b/>
          <w:bCs/>
          <w:color w:val="70AD47" w:themeColor="accent6"/>
          <w:sz w:val="36"/>
          <w:szCs w:val="36"/>
        </w:rPr>
      </w:pPr>
      <w:r w:rsidRPr="00BF5A85">
        <w:rPr>
          <w:rFonts w:ascii="Baskerville Old Face" w:hAnsi="Baskerville Old Face" w:cs="Microsoft Sans Serif"/>
          <w:b/>
          <w:bCs/>
          <w:color w:val="70AD47" w:themeColor="accent6"/>
          <w:sz w:val="36"/>
          <w:szCs w:val="36"/>
        </w:rPr>
        <w:t>Charte des droits et libertés de la personne âgée en situation de handicap ou de dépendance.</w:t>
      </w:r>
    </w:p>
    <w:p w14:paraId="28ED2885" w14:textId="77777777" w:rsidR="00356631" w:rsidRPr="004D1BCC" w:rsidRDefault="00356631" w:rsidP="00356631">
      <w:pPr>
        <w:jc w:val="center"/>
        <w:rPr>
          <w:rFonts w:ascii="Baskerville Old Face" w:hAnsi="Baskerville Old Face" w:cs="Microsoft Sans Serif"/>
          <w:b/>
          <w:bCs/>
          <w:color w:val="70AD47" w:themeColor="accent6"/>
          <w:sz w:val="20"/>
          <w:szCs w:val="20"/>
        </w:rPr>
      </w:pPr>
    </w:p>
    <w:p w14:paraId="2D3845D1" w14:textId="77777777" w:rsidR="00356631" w:rsidRPr="008B2C05" w:rsidRDefault="00356631" w:rsidP="00356631">
      <w:pPr>
        <w:jc w:val="center"/>
        <w:rPr>
          <w:rFonts w:ascii="Baskerville Old Face" w:hAnsi="Baskerville Old Face" w:cs="Microsoft Sans Serif"/>
          <w:b/>
          <w:bCs/>
        </w:rPr>
      </w:pPr>
      <w:r w:rsidRPr="008B2C05">
        <w:rPr>
          <w:rFonts w:ascii="Baskerville Old Face" w:hAnsi="Baskerville Old Face" w:cs="Microsoft Sans Serif"/>
          <w:b/>
          <w:bCs/>
        </w:rPr>
        <w:t>Lorsqu’il sera admis et acquis que toute personne âgée en situation de handicap de dépendance est respectée et reconnue sans sa dignité, sa liberté, ses droits et ses choix, cette charte sera appliquée dans son esprit.</w:t>
      </w:r>
    </w:p>
    <w:p w14:paraId="62DB3D8D" w14:textId="77777777" w:rsidR="00356631" w:rsidRDefault="00356631" w:rsidP="00356631">
      <w:pPr>
        <w:jc w:val="center"/>
        <w:rPr>
          <w:rFonts w:ascii="Baskerville Old Face" w:hAnsi="Baskerville Old Face" w:cs="Microsoft Sans Serif"/>
          <w:bCs/>
          <w:sz w:val="28"/>
          <w:szCs w:val="28"/>
        </w:rPr>
      </w:pPr>
    </w:p>
    <w:tbl>
      <w:tblPr>
        <w:tblStyle w:val="Grilledutableau"/>
        <w:tblW w:w="9918"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4957"/>
        <w:gridCol w:w="4961"/>
      </w:tblGrid>
      <w:tr w:rsidR="00356631" w14:paraId="345FEE96" w14:textId="77777777" w:rsidTr="008D66E2">
        <w:tc>
          <w:tcPr>
            <w:tcW w:w="4957" w:type="dxa"/>
          </w:tcPr>
          <w:p w14:paraId="0FD52B85" w14:textId="77777777" w:rsidR="00356631" w:rsidRPr="005E7A9C" w:rsidRDefault="00356631" w:rsidP="008D66E2">
            <w:pPr>
              <w:pStyle w:val="Paragraphedeliste"/>
              <w:numPr>
                <w:ilvl w:val="0"/>
                <w:numId w:val="1"/>
              </w:numPr>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Choix de vie</w:t>
            </w:r>
          </w:p>
          <w:p w14:paraId="7FF34EA6" w14:textId="77777777" w:rsidR="00356631" w:rsidRDefault="00356631" w:rsidP="008D66E2">
            <w:pPr>
              <w:jc w:val="both"/>
              <w:rPr>
                <w:rFonts w:ascii="Baskerville Old Face" w:hAnsi="Baskerville Old Face" w:cs="Microsoft Sans Serif"/>
                <w:bCs/>
              </w:rPr>
            </w:pPr>
            <w:r w:rsidRPr="009457AC">
              <w:rPr>
                <w:rFonts w:ascii="Baskerville Old Face" w:hAnsi="Baskerville Old Face" w:cs="Microsoft Sans Serif"/>
                <w:bCs/>
              </w:rPr>
              <w:t>Toute personne âgée devenue handicapée ou dépendante est libre d’exercer ses choix dans la vie quotidienne et de déterminer son mode de vie</w:t>
            </w:r>
          </w:p>
          <w:p w14:paraId="341D457E" w14:textId="77777777" w:rsidR="00356631" w:rsidRPr="009457AC" w:rsidRDefault="00356631" w:rsidP="008D66E2">
            <w:pPr>
              <w:jc w:val="both"/>
              <w:rPr>
                <w:rFonts w:ascii="Baskerville Old Face" w:hAnsi="Baskerville Old Face" w:cs="Microsoft Sans Serif"/>
                <w:bCs/>
              </w:rPr>
            </w:pPr>
          </w:p>
        </w:tc>
        <w:tc>
          <w:tcPr>
            <w:tcW w:w="4961" w:type="dxa"/>
          </w:tcPr>
          <w:p w14:paraId="61FFD11B" w14:textId="77777777" w:rsidR="00356631" w:rsidRPr="005E7A9C" w:rsidRDefault="00356631" w:rsidP="008D66E2">
            <w:pPr>
              <w:pStyle w:val="Paragraphedeliste"/>
              <w:numPr>
                <w:ilvl w:val="0"/>
                <w:numId w:val="2"/>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Prévention de l’autonomie</w:t>
            </w:r>
          </w:p>
          <w:p w14:paraId="2E05ECF3" w14:textId="77777777" w:rsidR="00356631" w:rsidRDefault="00356631" w:rsidP="008D66E2">
            <w:pPr>
              <w:rPr>
                <w:rFonts w:ascii="Baskerville Old Face" w:hAnsi="Baskerville Old Face" w:cs="Microsoft Sans Serif"/>
                <w:bCs/>
                <w:sz w:val="28"/>
                <w:szCs w:val="28"/>
              </w:rPr>
            </w:pPr>
            <w:r>
              <w:rPr>
                <w:rFonts w:ascii="Baskerville Old Face" w:hAnsi="Baskerville Old Face" w:cs="Microsoft Sans Serif"/>
                <w:bCs/>
              </w:rPr>
              <w:t>La prévention des handicaps et de la dépendance est une nécessité pour la personne qui vieillit.</w:t>
            </w:r>
          </w:p>
        </w:tc>
      </w:tr>
      <w:tr w:rsidR="00356631" w14:paraId="3FE9C708" w14:textId="77777777" w:rsidTr="008D66E2">
        <w:tc>
          <w:tcPr>
            <w:tcW w:w="4957" w:type="dxa"/>
          </w:tcPr>
          <w:p w14:paraId="5F50AED5" w14:textId="77777777" w:rsidR="00356631" w:rsidRPr="005E7A9C" w:rsidRDefault="00356631" w:rsidP="008D66E2">
            <w:pPr>
              <w:pStyle w:val="Paragraphedeliste"/>
              <w:numPr>
                <w:ilvl w:val="0"/>
                <w:numId w:val="1"/>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Cadre de vie</w:t>
            </w:r>
          </w:p>
          <w:p w14:paraId="35500004" w14:textId="77777777" w:rsidR="00356631" w:rsidRDefault="00356631" w:rsidP="008D66E2">
            <w:pPr>
              <w:jc w:val="both"/>
              <w:rPr>
                <w:rFonts w:ascii="Baskerville Old Face" w:hAnsi="Baskerville Old Face" w:cs="Microsoft Sans Serif"/>
                <w:bCs/>
                <w:sz w:val="28"/>
                <w:szCs w:val="28"/>
              </w:rPr>
            </w:pPr>
            <w:r>
              <w:rPr>
                <w:rFonts w:ascii="Baskerville Old Face" w:hAnsi="Baskerville Old Face" w:cs="Microsoft Sans Serif"/>
                <w:bCs/>
              </w:rPr>
              <w:t>Toute personne âgée en situation de handicap ou de dépendance doit pouvoir choisir un lieu de vie – domicile personnel ou collectif- adapté à ses attentes et à ses besoins.</w:t>
            </w:r>
          </w:p>
        </w:tc>
        <w:tc>
          <w:tcPr>
            <w:tcW w:w="4961" w:type="dxa"/>
          </w:tcPr>
          <w:p w14:paraId="591D5CBD" w14:textId="77777777" w:rsidR="00356631" w:rsidRPr="005E7A9C" w:rsidRDefault="00356631" w:rsidP="008D66E2">
            <w:pPr>
              <w:pStyle w:val="Paragraphedeliste"/>
              <w:numPr>
                <w:ilvl w:val="0"/>
                <w:numId w:val="2"/>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Accès aux soins et à la compensation des handicaps</w:t>
            </w:r>
          </w:p>
          <w:p w14:paraId="567B9CD8" w14:textId="77777777" w:rsidR="00356631" w:rsidRDefault="00356631" w:rsidP="008D66E2">
            <w:pPr>
              <w:jc w:val="both"/>
              <w:rPr>
                <w:rFonts w:ascii="Baskerville Old Face" w:hAnsi="Baskerville Old Face" w:cs="Microsoft Sans Serif"/>
                <w:bCs/>
              </w:rPr>
            </w:pPr>
            <w:r>
              <w:rPr>
                <w:rFonts w:ascii="Baskerville Old Face" w:hAnsi="Baskerville Old Face" w:cs="Microsoft Sans Serif"/>
                <w:bCs/>
              </w:rPr>
              <w:t>Toute personne âgée en situation de handicap ou de dépendance doit avoir accès aux conseils, aux compétences et aux soins qui lui sont utiles.</w:t>
            </w:r>
          </w:p>
          <w:p w14:paraId="5F3CF0AB" w14:textId="77777777" w:rsidR="00356631" w:rsidRDefault="00356631" w:rsidP="008D66E2">
            <w:pPr>
              <w:rPr>
                <w:rFonts w:ascii="Baskerville Old Face" w:hAnsi="Baskerville Old Face" w:cs="Microsoft Sans Serif"/>
                <w:bCs/>
                <w:sz w:val="28"/>
                <w:szCs w:val="28"/>
              </w:rPr>
            </w:pPr>
          </w:p>
        </w:tc>
      </w:tr>
      <w:tr w:rsidR="00356631" w14:paraId="23FDBD33" w14:textId="77777777" w:rsidTr="008D66E2">
        <w:tc>
          <w:tcPr>
            <w:tcW w:w="4957" w:type="dxa"/>
          </w:tcPr>
          <w:p w14:paraId="068561DD" w14:textId="77777777" w:rsidR="00356631" w:rsidRPr="005E7A9C" w:rsidRDefault="00356631" w:rsidP="008D66E2">
            <w:pPr>
              <w:pStyle w:val="Paragraphedeliste"/>
              <w:numPr>
                <w:ilvl w:val="0"/>
                <w:numId w:val="1"/>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Vie sociale et culturelle</w:t>
            </w:r>
          </w:p>
          <w:p w14:paraId="46081A99" w14:textId="77777777" w:rsidR="00356631" w:rsidRDefault="00356631" w:rsidP="008D66E2">
            <w:pPr>
              <w:jc w:val="both"/>
              <w:rPr>
                <w:rFonts w:ascii="Baskerville Old Face" w:hAnsi="Baskerville Old Face" w:cs="Microsoft Sans Serif"/>
                <w:bCs/>
                <w:sz w:val="28"/>
                <w:szCs w:val="28"/>
              </w:rPr>
            </w:pPr>
            <w:r>
              <w:rPr>
                <w:rFonts w:ascii="Baskerville Old Face" w:hAnsi="Baskerville Old Face" w:cs="Microsoft Sans Serif"/>
                <w:bCs/>
              </w:rPr>
              <w:t>Toute personne âgée en situation de handicap ou de dépendance conserve la liberté de communiquer, de se déplacer et de participer à la vie en société.</w:t>
            </w:r>
          </w:p>
        </w:tc>
        <w:tc>
          <w:tcPr>
            <w:tcW w:w="4961" w:type="dxa"/>
          </w:tcPr>
          <w:p w14:paraId="3FF14C14" w14:textId="77777777" w:rsidR="00356631" w:rsidRPr="008B2C05" w:rsidRDefault="00356631" w:rsidP="008D66E2">
            <w:pPr>
              <w:pStyle w:val="Paragraphedeliste"/>
              <w:numPr>
                <w:ilvl w:val="0"/>
                <w:numId w:val="2"/>
              </w:numPr>
              <w:jc w:val="both"/>
              <w:rPr>
                <w:rFonts w:ascii="Baskerville Old Face" w:hAnsi="Baskerville Old Face" w:cs="Microsoft Sans Serif"/>
                <w:b/>
                <w:bCs/>
                <w:sz w:val="28"/>
                <w:szCs w:val="28"/>
              </w:rPr>
            </w:pPr>
            <w:r w:rsidRPr="0021360A">
              <w:rPr>
                <w:rFonts w:ascii="Baskerville Old Face" w:hAnsi="Baskerville Old Face" w:cs="Microsoft Sans Serif"/>
                <w:b/>
                <w:bCs/>
                <w:color w:val="92D050"/>
                <w:sz w:val="28"/>
                <w:szCs w:val="28"/>
              </w:rPr>
              <w:t xml:space="preserve"> </w:t>
            </w:r>
            <w:r w:rsidRPr="005E7A9C">
              <w:rPr>
                <w:rFonts w:ascii="Baskerville Old Face" w:hAnsi="Baskerville Old Face" w:cs="Microsoft Sans Serif"/>
                <w:b/>
                <w:bCs/>
                <w:color w:val="92D050"/>
                <w:sz w:val="28"/>
                <w:szCs w:val="28"/>
              </w:rPr>
              <w:t>Cadre de vie</w:t>
            </w:r>
          </w:p>
          <w:p w14:paraId="270075B5" w14:textId="77777777" w:rsidR="00356631" w:rsidRDefault="00356631" w:rsidP="008D66E2">
            <w:pPr>
              <w:jc w:val="both"/>
              <w:rPr>
                <w:rFonts w:ascii="Baskerville Old Face" w:hAnsi="Baskerville Old Face" w:cs="Microsoft Sans Serif"/>
                <w:bCs/>
              </w:rPr>
            </w:pPr>
            <w:r>
              <w:rPr>
                <w:rFonts w:ascii="Baskerville Old Face" w:hAnsi="Baskerville Old Face" w:cs="Microsoft Sans Serif"/>
                <w:bCs/>
              </w:rPr>
              <w:t>Les soins et les aides de compensation des handicaps que requièrent les personnes malades chroniques doivent être dispensés par des intervenants formés, en nombre suffisant, à domicile comme en institution.</w:t>
            </w:r>
          </w:p>
          <w:p w14:paraId="57B05D72" w14:textId="77777777" w:rsidR="00356631" w:rsidRDefault="00356631" w:rsidP="008D66E2">
            <w:pPr>
              <w:rPr>
                <w:rFonts w:ascii="Baskerville Old Face" w:hAnsi="Baskerville Old Face" w:cs="Microsoft Sans Serif"/>
                <w:bCs/>
                <w:sz w:val="28"/>
                <w:szCs w:val="28"/>
              </w:rPr>
            </w:pPr>
          </w:p>
        </w:tc>
      </w:tr>
      <w:tr w:rsidR="00356631" w14:paraId="166D60CA" w14:textId="77777777" w:rsidTr="008D66E2">
        <w:tc>
          <w:tcPr>
            <w:tcW w:w="4957" w:type="dxa"/>
          </w:tcPr>
          <w:p w14:paraId="58501EC0" w14:textId="77777777" w:rsidR="00356631" w:rsidRPr="005E7A9C" w:rsidRDefault="00356631" w:rsidP="008D66E2">
            <w:pPr>
              <w:pStyle w:val="Paragraphedeliste"/>
              <w:numPr>
                <w:ilvl w:val="0"/>
                <w:numId w:val="3"/>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Présence et rôle des proches</w:t>
            </w:r>
          </w:p>
          <w:p w14:paraId="14B881B2" w14:textId="77777777" w:rsidR="00356631" w:rsidRDefault="00356631" w:rsidP="008D66E2">
            <w:pPr>
              <w:jc w:val="both"/>
              <w:rPr>
                <w:rFonts w:ascii="Baskerville Old Face" w:hAnsi="Baskerville Old Face" w:cs="Microsoft Sans Serif"/>
                <w:bCs/>
              </w:rPr>
            </w:pPr>
            <w:r>
              <w:rPr>
                <w:rFonts w:ascii="Baskerville Old Face" w:hAnsi="Baskerville Old Face" w:cs="Microsoft Sans Serif"/>
                <w:bCs/>
              </w:rPr>
              <w:t>Le maintien des relations familiales, des réseaux amicaux et sociaux est indispensable à la personne âgée en situation de handicap ou de dépendance.</w:t>
            </w:r>
          </w:p>
          <w:p w14:paraId="05544A42" w14:textId="77777777" w:rsidR="00356631" w:rsidRDefault="00356631" w:rsidP="008D66E2">
            <w:pPr>
              <w:rPr>
                <w:rFonts w:ascii="Baskerville Old Face" w:hAnsi="Baskerville Old Face" w:cs="Microsoft Sans Serif"/>
                <w:bCs/>
                <w:sz w:val="28"/>
                <w:szCs w:val="28"/>
              </w:rPr>
            </w:pPr>
          </w:p>
        </w:tc>
        <w:tc>
          <w:tcPr>
            <w:tcW w:w="4961" w:type="dxa"/>
          </w:tcPr>
          <w:p w14:paraId="0DB1691F" w14:textId="77777777" w:rsidR="00356631" w:rsidRPr="008B2C05" w:rsidRDefault="00356631" w:rsidP="008D66E2">
            <w:pPr>
              <w:pStyle w:val="Paragraphedeliste"/>
              <w:numPr>
                <w:ilvl w:val="0"/>
                <w:numId w:val="2"/>
              </w:numPr>
              <w:jc w:val="both"/>
              <w:rPr>
                <w:rFonts w:ascii="Baskerville Old Face" w:hAnsi="Baskerville Old Face" w:cs="Microsoft Sans Serif"/>
                <w:b/>
                <w:bCs/>
                <w:sz w:val="28"/>
                <w:szCs w:val="28"/>
              </w:rPr>
            </w:pPr>
            <w:r>
              <w:rPr>
                <w:rFonts w:ascii="Baskerville Old Face" w:hAnsi="Baskerville Old Face" w:cs="Microsoft Sans Serif"/>
                <w:b/>
                <w:bCs/>
                <w:sz w:val="28"/>
                <w:szCs w:val="28"/>
              </w:rPr>
              <w:t xml:space="preserve"> </w:t>
            </w:r>
            <w:r w:rsidRPr="005E7A9C">
              <w:rPr>
                <w:rFonts w:ascii="Baskerville Old Face" w:hAnsi="Baskerville Old Face" w:cs="Microsoft Sans Serif"/>
                <w:b/>
                <w:bCs/>
                <w:color w:val="92D050"/>
                <w:sz w:val="28"/>
                <w:szCs w:val="28"/>
              </w:rPr>
              <w:t>Respect de la fin de vie</w:t>
            </w:r>
          </w:p>
          <w:p w14:paraId="6A1A8501" w14:textId="77777777" w:rsidR="00356631" w:rsidRDefault="00356631" w:rsidP="008D66E2">
            <w:pPr>
              <w:jc w:val="both"/>
              <w:rPr>
                <w:rFonts w:ascii="Baskerville Old Face" w:hAnsi="Baskerville Old Face" w:cs="Microsoft Sans Serif"/>
                <w:bCs/>
                <w:sz w:val="28"/>
                <w:szCs w:val="28"/>
              </w:rPr>
            </w:pPr>
            <w:r>
              <w:rPr>
                <w:rFonts w:ascii="Baskerville Old Face" w:hAnsi="Baskerville Old Face" w:cs="Microsoft Sans Serif"/>
                <w:bCs/>
              </w:rPr>
              <w:t>Soins, assistance et accompagnement doivent être procurés à la personne âgée en fin de vie et à sa famille.</w:t>
            </w:r>
          </w:p>
        </w:tc>
      </w:tr>
      <w:tr w:rsidR="00356631" w14:paraId="52A6A6BA" w14:textId="77777777" w:rsidTr="008D66E2">
        <w:tc>
          <w:tcPr>
            <w:tcW w:w="4957" w:type="dxa"/>
          </w:tcPr>
          <w:p w14:paraId="7D26EEA9" w14:textId="77777777" w:rsidR="00356631" w:rsidRPr="005E7A9C" w:rsidRDefault="00356631" w:rsidP="008D66E2">
            <w:pPr>
              <w:pStyle w:val="Paragraphedeliste"/>
              <w:numPr>
                <w:ilvl w:val="0"/>
                <w:numId w:val="3"/>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Patrimoine et revenus</w:t>
            </w:r>
          </w:p>
          <w:p w14:paraId="599EBBF5" w14:textId="77777777" w:rsidR="00356631" w:rsidRDefault="00356631" w:rsidP="008D66E2">
            <w:pPr>
              <w:jc w:val="both"/>
              <w:rPr>
                <w:rFonts w:ascii="Baskerville Old Face" w:hAnsi="Baskerville Old Face" w:cs="Microsoft Sans Serif"/>
                <w:bCs/>
                <w:sz w:val="28"/>
                <w:szCs w:val="28"/>
              </w:rPr>
            </w:pPr>
            <w:r>
              <w:rPr>
                <w:rFonts w:ascii="Baskerville Old Face" w:hAnsi="Baskerville Old Face" w:cs="Microsoft Sans Serif"/>
                <w:bCs/>
              </w:rPr>
              <w:t>Toute personne âgée en situation de handicap ou de dépendance doit pouvoir garder la maîtrise de son patrimoine et de ses revenus disponibles.</w:t>
            </w:r>
          </w:p>
        </w:tc>
        <w:tc>
          <w:tcPr>
            <w:tcW w:w="4961" w:type="dxa"/>
          </w:tcPr>
          <w:p w14:paraId="399D9BDE" w14:textId="77777777" w:rsidR="00356631" w:rsidRPr="005E7A9C" w:rsidRDefault="00356631" w:rsidP="008D66E2">
            <w:pPr>
              <w:pStyle w:val="Paragraphedeliste"/>
              <w:numPr>
                <w:ilvl w:val="0"/>
                <w:numId w:val="4"/>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 xml:space="preserve"> La recherche : une priorité et un devoir</w:t>
            </w:r>
          </w:p>
          <w:p w14:paraId="6E7162C5" w14:textId="77777777" w:rsidR="00356631" w:rsidRDefault="00356631" w:rsidP="008D66E2">
            <w:pPr>
              <w:rPr>
                <w:rFonts w:ascii="Baskerville Old Face" w:hAnsi="Baskerville Old Face" w:cs="Microsoft Sans Serif"/>
                <w:bCs/>
              </w:rPr>
            </w:pPr>
            <w:r>
              <w:rPr>
                <w:rFonts w:ascii="Baskerville Old Face" w:hAnsi="Baskerville Old Face" w:cs="Microsoft Sans Serif"/>
                <w:bCs/>
              </w:rPr>
              <w:t>La recherche multidisciplinaire sur le vieillissement, les maladies handicapantes liées à l’âge et les handicaps est une priorité. C’est aussi un devoir.</w:t>
            </w:r>
          </w:p>
          <w:p w14:paraId="0EE71894" w14:textId="77777777" w:rsidR="00356631" w:rsidRDefault="00356631" w:rsidP="008D66E2">
            <w:pPr>
              <w:rPr>
                <w:rFonts w:ascii="Baskerville Old Face" w:hAnsi="Baskerville Old Face" w:cs="Microsoft Sans Serif"/>
                <w:bCs/>
                <w:sz w:val="28"/>
                <w:szCs w:val="28"/>
              </w:rPr>
            </w:pPr>
          </w:p>
        </w:tc>
      </w:tr>
      <w:tr w:rsidR="00356631" w14:paraId="082C6691" w14:textId="77777777" w:rsidTr="008D66E2">
        <w:tc>
          <w:tcPr>
            <w:tcW w:w="4957" w:type="dxa"/>
          </w:tcPr>
          <w:p w14:paraId="5E5719EA" w14:textId="77777777" w:rsidR="00356631" w:rsidRPr="005E7A9C" w:rsidRDefault="00356631" w:rsidP="008D66E2">
            <w:pPr>
              <w:pStyle w:val="Paragraphedeliste"/>
              <w:numPr>
                <w:ilvl w:val="0"/>
                <w:numId w:val="3"/>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Valorisation de l’activité</w:t>
            </w:r>
          </w:p>
          <w:p w14:paraId="4E8A18DF" w14:textId="77777777" w:rsidR="00356631" w:rsidRDefault="00356631" w:rsidP="008D66E2">
            <w:pPr>
              <w:jc w:val="both"/>
              <w:rPr>
                <w:rFonts w:ascii="Baskerville Old Face" w:hAnsi="Baskerville Old Face" w:cs="Microsoft Sans Serif"/>
                <w:bCs/>
                <w:sz w:val="28"/>
                <w:szCs w:val="28"/>
              </w:rPr>
            </w:pPr>
            <w:r>
              <w:rPr>
                <w:rFonts w:ascii="Baskerville Old Face" w:hAnsi="Baskerville Old Face" w:cs="Microsoft Sans Serif"/>
                <w:bCs/>
              </w:rPr>
              <w:t>Toute personne âgée en situation de handicap ou de dépendance doit être encouragée à conserver des activités.</w:t>
            </w:r>
          </w:p>
        </w:tc>
        <w:tc>
          <w:tcPr>
            <w:tcW w:w="4961" w:type="dxa"/>
          </w:tcPr>
          <w:p w14:paraId="22E90E50" w14:textId="77777777" w:rsidR="00356631" w:rsidRPr="00D53699" w:rsidRDefault="00356631" w:rsidP="008D66E2">
            <w:pPr>
              <w:pStyle w:val="Paragraphedeliste"/>
              <w:numPr>
                <w:ilvl w:val="0"/>
                <w:numId w:val="4"/>
              </w:numPr>
              <w:jc w:val="both"/>
              <w:rPr>
                <w:rFonts w:ascii="Baskerville Old Face" w:hAnsi="Baskerville Old Face" w:cs="Microsoft Sans Serif"/>
                <w:b/>
                <w:bCs/>
                <w:sz w:val="28"/>
                <w:szCs w:val="28"/>
              </w:rPr>
            </w:pPr>
            <w:r>
              <w:rPr>
                <w:rFonts w:ascii="Baskerville Old Face" w:hAnsi="Baskerville Old Face" w:cs="Microsoft Sans Serif"/>
                <w:b/>
                <w:bCs/>
                <w:sz w:val="28"/>
                <w:szCs w:val="28"/>
              </w:rPr>
              <w:t xml:space="preserve"> </w:t>
            </w:r>
            <w:r w:rsidRPr="005E7A9C">
              <w:rPr>
                <w:rFonts w:ascii="Baskerville Old Face" w:hAnsi="Baskerville Old Face" w:cs="Microsoft Sans Serif"/>
                <w:b/>
                <w:bCs/>
                <w:color w:val="92D050"/>
                <w:sz w:val="28"/>
                <w:szCs w:val="28"/>
              </w:rPr>
              <w:t>Exercice des droits et protection juridique de la personne vulnérable</w:t>
            </w:r>
          </w:p>
          <w:p w14:paraId="61D6CABC" w14:textId="77777777" w:rsidR="00356631" w:rsidRPr="00F7473A" w:rsidRDefault="00356631" w:rsidP="008D66E2">
            <w:pPr>
              <w:jc w:val="both"/>
              <w:rPr>
                <w:rFonts w:ascii="Baskerville Old Face" w:hAnsi="Baskerville Old Face" w:cs="Microsoft Sans Serif"/>
                <w:bCs/>
              </w:rPr>
            </w:pPr>
            <w:r>
              <w:rPr>
                <w:rFonts w:ascii="Baskerville Old Face" w:hAnsi="Baskerville Old Face" w:cs="Microsoft Sans Serif"/>
                <w:bCs/>
              </w:rPr>
              <w:t>Toute personne en situation de vulnérabilité doit voir protégés ses biens et sa personne.</w:t>
            </w:r>
          </w:p>
        </w:tc>
      </w:tr>
      <w:tr w:rsidR="00356631" w14:paraId="69A85A92" w14:textId="77777777" w:rsidTr="008D66E2">
        <w:tc>
          <w:tcPr>
            <w:tcW w:w="4957" w:type="dxa"/>
          </w:tcPr>
          <w:p w14:paraId="2A677B1B" w14:textId="77777777" w:rsidR="00356631" w:rsidRDefault="00356631" w:rsidP="008D66E2">
            <w:pPr>
              <w:pStyle w:val="Paragraphedeliste"/>
              <w:jc w:val="both"/>
              <w:rPr>
                <w:rFonts w:ascii="Baskerville Old Face" w:hAnsi="Baskerville Old Face" w:cs="Microsoft Sans Serif"/>
                <w:b/>
                <w:bCs/>
                <w:sz w:val="28"/>
                <w:szCs w:val="28"/>
              </w:rPr>
            </w:pPr>
          </w:p>
          <w:p w14:paraId="5EEA77A6" w14:textId="77777777" w:rsidR="00356631" w:rsidRPr="005E7A9C" w:rsidRDefault="00356631" w:rsidP="008D66E2">
            <w:pPr>
              <w:pStyle w:val="Paragraphedeliste"/>
              <w:numPr>
                <w:ilvl w:val="0"/>
                <w:numId w:val="5"/>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Liberté d’expression et liberté de conscience</w:t>
            </w:r>
          </w:p>
          <w:p w14:paraId="63FD0806" w14:textId="77777777" w:rsidR="00356631" w:rsidRDefault="00356631" w:rsidP="008D66E2">
            <w:pPr>
              <w:jc w:val="both"/>
              <w:rPr>
                <w:rFonts w:ascii="Baskerville Old Face" w:hAnsi="Baskerville Old Face" w:cs="Microsoft Sans Serif"/>
                <w:bCs/>
              </w:rPr>
            </w:pPr>
            <w:r>
              <w:rPr>
                <w:rFonts w:ascii="Baskerville Old Face" w:hAnsi="Baskerville Old Face" w:cs="Microsoft Sans Serif"/>
                <w:bCs/>
              </w:rPr>
              <w:t>Toute personne doit pouvoir participer aux activités associatives ou politiques ainsi qu’aux activités religieuses et philosophiques de son choix</w:t>
            </w:r>
          </w:p>
          <w:p w14:paraId="7D29BD85" w14:textId="77777777" w:rsidR="00356631" w:rsidRPr="0053757B" w:rsidRDefault="00356631" w:rsidP="008D66E2">
            <w:pPr>
              <w:rPr>
                <w:rFonts w:ascii="Baskerville Old Face" w:hAnsi="Baskerville Old Face" w:cs="Microsoft Sans Serif"/>
                <w:bCs/>
              </w:rPr>
            </w:pPr>
          </w:p>
        </w:tc>
        <w:tc>
          <w:tcPr>
            <w:tcW w:w="4961" w:type="dxa"/>
          </w:tcPr>
          <w:p w14:paraId="4558945F" w14:textId="77777777" w:rsidR="00356631" w:rsidRDefault="00356631" w:rsidP="008D66E2">
            <w:pPr>
              <w:pStyle w:val="Paragraphedeliste"/>
              <w:ind w:left="750"/>
              <w:jc w:val="both"/>
              <w:rPr>
                <w:rFonts w:ascii="Baskerville Old Face" w:hAnsi="Baskerville Old Face" w:cs="Microsoft Sans Serif"/>
                <w:b/>
                <w:bCs/>
                <w:sz w:val="28"/>
                <w:szCs w:val="28"/>
              </w:rPr>
            </w:pPr>
          </w:p>
          <w:p w14:paraId="7240E07E" w14:textId="77777777" w:rsidR="00356631" w:rsidRPr="005E7A9C" w:rsidRDefault="00356631" w:rsidP="008D66E2">
            <w:pPr>
              <w:pStyle w:val="Paragraphedeliste"/>
              <w:numPr>
                <w:ilvl w:val="0"/>
                <w:numId w:val="4"/>
              </w:numPr>
              <w:jc w:val="both"/>
              <w:rPr>
                <w:rFonts w:ascii="Baskerville Old Face" w:hAnsi="Baskerville Old Face" w:cs="Microsoft Sans Serif"/>
                <w:b/>
                <w:bCs/>
                <w:color w:val="92D050"/>
                <w:sz w:val="28"/>
                <w:szCs w:val="28"/>
              </w:rPr>
            </w:pPr>
            <w:r w:rsidRPr="005E7A9C">
              <w:rPr>
                <w:rFonts w:ascii="Baskerville Old Face" w:hAnsi="Baskerville Old Face" w:cs="Microsoft Sans Serif"/>
                <w:b/>
                <w:bCs/>
                <w:color w:val="92D050"/>
                <w:sz w:val="28"/>
                <w:szCs w:val="28"/>
              </w:rPr>
              <w:t xml:space="preserve"> L’information</w:t>
            </w:r>
          </w:p>
          <w:p w14:paraId="3DF135C3" w14:textId="77777777" w:rsidR="00356631" w:rsidRDefault="00356631" w:rsidP="008D66E2">
            <w:pPr>
              <w:jc w:val="both"/>
              <w:rPr>
                <w:rFonts w:ascii="Baskerville Old Face" w:hAnsi="Baskerville Old Face" w:cs="Microsoft Sans Serif"/>
                <w:bCs/>
                <w:sz w:val="28"/>
                <w:szCs w:val="28"/>
              </w:rPr>
            </w:pPr>
            <w:r>
              <w:rPr>
                <w:rFonts w:ascii="Baskerville Old Face" w:hAnsi="Baskerville Old Face" w:cs="Microsoft Sans Serif"/>
                <w:bCs/>
              </w:rPr>
              <w:t>L’information est le meilleur moyen de lutter contre l’exclusion.</w:t>
            </w:r>
          </w:p>
        </w:tc>
      </w:tr>
    </w:tbl>
    <w:p w14:paraId="6074FC7B" w14:textId="77777777" w:rsidR="008A648C" w:rsidRDefault="008A648C"/>
    <w:sectPr w:rsidR="008A648C" w:rsidSect="0035663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54B"/>
    <w:multiLevelType w:val="hybridMultilevel"/>
    <w:tmpl w:val="85AA398E"/>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326BC3"/>
    <w:multiLevelType w:val="hybridMultilevel"/>
    <w:tmpl w:val="EFAC1AC6"/>
    <w:lvl w:ilvl="0" w:tplc="6492CBF6">
      <w:start w:val="12"/>
      <w:numFmt w:val="decimal"/>
      <w:lvlText w:val="%1."/>
      <w:lvlJc w:val="left"/>
      <w:pPr>
        <w:ind w:left="750" w:hanging="390"/>
      </w:pPr>
      <w:rPr>
        <w:rFonts w:hint="default"/>
        <w:color w:val="92D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F4300D4"/>
    <w:multiLevelType w:val="hybridMultilevel"/>
    <w:tmpl w:val="AF34F5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FE6132B"/>
    <w:multiLevelType w:val="hybridMultilevel"/>
    <w:tmpl w:val="F2C641A8"/>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FEA3947"/>
    <w:multiLevelType w:val="hybridMultilevel"/>
    <w:tmpl w:val="95708936"/>
    <w:lvl w:ilvl="0" w:tplc="4370773E">
      <w:start w:val="8"/>
      <w:numFmt w:val="decimal"/>
      <w:lvlText w:val="%1."/>
      <w:lvlJc w:val="left"/>
      <w:pPr>
        <w:ind w:left="720" w:hanging="360"/>
      </w:pPr>
      <w:rPr>
        <w:rFonts w:hint="default"/>
        <w:color w:val="92D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57701093">
    <w:abstractNumId w:val="2"/>
  </w:num>
  <w:num w:numId="2" w16cid:durableId="934091515">
    <w:abstractNumId w:val="4"/>
  </w:num>
  <w:num w:numId="3" w16cid:durableId="1290740071">
    <w:abstractNumId w:val="0"/>
  </w:num>
  <w:num w:numId="4" w16cid:durableId="735320776">
    <w:abstractNumId w:val="1"/>
  </w:num>
  <w:num w:numId="5" w16cid:durableId="772435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31"/>
    <w:rsid w:val="00356631"/>
    <w:rsid w:val="008A6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2EDD"/>
  <w15:chartTrackingRefBased/>
  <w15:docId w15:val="{B20DA46E-22F1-41D9-BB22-F0654EF2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6631"/>
    <w:pPr>
      <w:ind w:left="720"/>
      <w:contextualSpacing/>
    </w:pPr>
  </w:style>
  <w:style w:type="table" w:styleId="Grilledutableau">
    <w:name w:val="Table Grid"/>
    <w:basedOn w:val="TableauNormal"/>
    <w:uiPriority w:val="39"/>
    <w:rsid w:val="00356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2224</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 Ehpad La Grèze - Mondragon</dc:creator>
  <cp:keywords/>
  <dc:description/>
  <cp:lastModifiedBy>Direction Ehpad La Grèze - Mondragon</cp:lastModifiedBy>
  <cp:revision>1</cp:revision>
  <dcterms:created xsi:type="dcterms:W3CDTF">2022-05-11T10:22:00Z</dcterms:created>
  <dcterms:modified xsi:type="dcterms:W3CDTF">2022-05-11T10:23:00Z</dcterms:modified>
</cp:coreProperties>
</file>